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58" w:rsidRPr="00070C3C" w:rsidRDefault="00282258" w:rsidP="00FC6A44">
      <w:pPr>
        <w:pStyle w:val="Title"/>
        <w:rPr>
          <w:rFonts w:ascii="Arial" w:hAnsi="Arial" w:cs="Arial"/>
          <w:color w:val="auto"/>
          <w:sz w:val="60"/>
          <w:szCs w:val="60"/>
        </w:rPr>
      </w:pPr>
      <w:bookmarkStart w:id="0" w:name="_Hlk500451794"/>
      <w:r w:rsidRPr="00070C3C">
        <w:rPr>
          <w:rFonts w:ascii="Arial" w:hAnsi="Arial" w:cs="Arial"/>
          <w:color w:val="auto"/>
          <w:sz w:val="60"/>
          <w:szCs w:val="60"/>
        </w:rPr>
        <w:t>F</w:t>
      </w:r>
      <w:bookmarkEnd w:id="0"/>
      <w:r w:rsidRPr="00070C3C">
        <w:rPr>
          <w:rFonts w:ascii="Arial" w:hAnsi="Arial" w:cs="Arial"/>
          <w:color w:val="auto"/>
          <w:sz w:val="60"/>
          <w:szCs w:val="60"/>
        </w:rPr>
        <w:t>ree Interpreting Service for allied health professionals</w:t>
      </w:r>
    </w:p>
    <w:p w:rsidR="0044479A" w:rsidRPr="000D4A03" w:rsidRDefault="0044479A" w:rsidP="00070C3C">
      <w:pPr>
        <w:pStyle w:val="Heading1"/>
        <w:spacing w:before="240" w:after="200" w:line="276" w:lineRule="auto"/>
        <w:ind w:left="0"/>
        <w:rPr>
          <w:rStyle w:val="Emphasis"/>
          <w:b w:val="0"/>
        </w:rPr>
      </w:pPr>
      <w:r w:rsidRPr="000D4A03">
        <w:rPr>
          <w:rStyle w:val="Emphasis"/>
          <w:b w:val="0"/>
        </w:rPr>
        <w:t>The Free Interpreting Service aims to provide equitable access to key services for people with limited or no English language proficiency.</w:t>
      </w:r>
    </w:p>
    <w:p w:rsidR="0044479A" w:rsidRPr="000D4A03" w:rsidRDefault="0044479A" w:rsidP="00070C3C">
      <w:pPr>
        <w:pStyle w:val="Heading1"/>
        <w:spacing w:after="200" w:line="276" w:lineRule="auto"/>
        <w:ind w:left="0"/>
        <w:rPr>
          <w:rStyle w:val="Emphasis"/>
          <w:b w:val="0"/>
        </w:rPr>
      </w:pPr>
      <w:r w:rsidRPr="000D4A03">
        <w:rPr>
          <w:rStyle w:val="Emphasis"/>
          <w:b w:val="0"/>
        </w:rPr>
        <w:t>Allied Health professionals can access the Free Interpreting Service to discuss any private health matters with their clients</w:t>
      </w:r>
    </w:p>
    <w:p w:rsidR="00282258" w:rsidRPr="0036774A" w:rsidRDefault="00282258" w:rsidP="001B6FA1">
      <w:pPr>
        <w:pStyle w:val="Heading2"/>
        <w:spacing w:after="200"/>
        <w:rPr>
          <w:b/>
        </w:rPr>
      </w:pPr>
      <w:r w:rsidRPr="0036774A">
        <w:t>Eligibility</w:t>
      </w:r>
    </w:p>
    <w:p w:rsidR="00282258" w:rsidRPr="00256865" w:rsidRDefault="00282258" w:rsidP="00C86C72">
      <w:pPr>
        <w:pStyle w:val="BodyText"/>
        <w:spacing w:line="276" w:lineRule="auto"/>
        <w:ind w:left="0"/>
      </w:pPr>
      <w:r w:rsidRPr="00256865">
        <w:t xml:space="preserve">Eligibility is limited by discipline and location. Private sector allied health professionals in the following disciplines can access FIS: </w:t>
      </w:r>
    </w:p>
    <w:p w:rsidR="00282258" w:rsidRPr="00256865" w:rsidRDefault="00282258" w:rsidP="009A0606">
      <w:pPr>
        <w:pStyle w:val="BodyText"/>
        <w:spacing w:after="200" w:line="276" w:lineRule="auto"/>
        <w:ind w:left="0"/>
      </w:pPr>
      <w:r w:rsidRPr="00256865">
        <w:t xml:space="preserve">art therapists, audiologists, </w:t>
      </w:r>
      <w:proofErr w:type="spellStart"/>
      <w:r w:rsidRPr="00256865">
        <w:t>audiometrists</w:t>
      </w:r>
      <w:proofErr w:type="spellEnd"/>
      <w:r w:rsidRPr="00256865">
        <w:t>, chiropractors, Chinese medicine practitioners, dieticians, exercise physiologists, genetic counsellors, music therapists, medical radiation practitioners, optometrists, orthoptists, orthotists/</w:t>
      </w:r>
      <w:proofErr w:type="spellStart"/>
      <w:r w:rsidRPr="00256865">
        <w:t>prosthetists</w:t>
      </w:r>
      <w:proofErr w:type="spellEnd"/>
      <w:r w:rsidRPr="00256865">
        <w:t>, occupational therapists, osteopaths, physiotherapists, podiatrists, psychologists, registered counsellors (levels 3 and 4), rehabilitation counsellors, social workers, sonographers and speech pathologists.</w:t>
      </w:r>
    </w:p>
    <w:p w:rsidR="00282258" w:rsidRPr="00256865" w:rsidRDefault="00282258" w:rsidP="00C86C72">
      <w:pPr>
        <w:pStyle w:val="BodyText"/>
        <w:spacing w:line="276" w:lineRule="auto"/>
        <w:ind w:left="0"/>
      </w:pPr>
      <w:r w:rsidRPr="00256865">
        <w:t>Private sector allied health professionals in the above disciplines must also be providing services in the following Local Government Areas (LGAs):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ACT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Canberra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NSW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Fairfield, Liverpoo</w:t>
      </w:r>
      <w:r w:rsidR="00795A40" w:rsidRPr="00256865">
        <w:rPr>
          <w:rFonts w:cs="Arial"/>
          <w:sz w:val="24"/>
          <w:szCs w:val="24"/>
        </w:rPr>
        <w:t>l, Blacktown, Albury, Armidale</w:t>
      </w:r>
      <w:r w:rsidRPr="00256865">
        <w:rPr>
          <w:rFonts w:cs="Arial"/>
          <w:sz w:val="24"/>
          <w:szCs w:val="24"/>
        </w:rPr>
        <w:t>, Coffs Harbour, Newcastle, Wagga Wagga, Wollongong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NT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Darwin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Qld.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Brisbane, Logan, Cairns, Gold Coast, Toowoomba, Townsville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SA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Adelaide, Mount Gambier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lastRenderedPageBreak/>
        <w:t>Tas.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Launceston, Hobart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Vic.</w:t>
      </w:r>
    </w:p>
    <w:p w:rsidR="00282258" w:rsidRPr="00256865" w:rsidRDefault="00282258" w:rsidP="00C86C72">
      <w:pPr>
        <w:spacing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 xml:space="preserve">Casey, Greater Dandenong, Hume, Wyndham, </w:t>
      </w:r>
      <w:proofErr w:type="spellStart"/>
      <w:r w:rsidRPr="00256865">
        <w:rPr>
          <w:rFonts w:cs="Arial"/>
          <w:sz w:val="24"/>
          <w:szCs w:val="24"/>
        </w:rPr>
        <w:t>Brimbank</w:t>
      </w:r>
      <w:proofErr w:type="spellEnd"/>
      <w:r w:rsidRPr="00256865">
        <w:rPr>
          <w:rFonts w:cs="Arial"/>
          <w:sz w:val="24"/>
          <w:szCs w:val="24"/>
        </w:rPr>
        <w:t>, Melton, Greater Geelong, Greater Shepparton, Mildura, Wodonga</w:t>
      </w:r>
    </w:p>
    <w:p w:rsidR="00282258" w:rsidRPr="00256865" w:rsidRDefault="00282258" w:rsidP="00C86C72">
      <w:pPr>
        <w:pStyle w:val="Heading4"/>
        <w:spacing w:line="276" w:lineRule="auto"/>
        <w:ind w:left="0"/>
        <w:rPr>
          <w:sz w:val="24"/>
        </w:rPr>
      </w:pPr>
      <w:r w:rsidRPr="00256865">
        <w:rPr>
          <w:sz w:val="24"/>
        </w:rPr>
        <w:t>WA</w:t>
      </w:r>
    </w:p>
    <w:p w:rsidR="00282258" w:rsidRDefault="00282258" w:rsidP="00C86C72">
      <w:pPr>
        <w:spacing w:after="240" w:line="276" w:lineRule="auto"/>
        <w:rPr>
          <w:rFonts w:cs="Arial"/>
          <w:sz w:val="24"/>
          <w:szCs w:val="24"/>
        </w:rPr>
      </w:pPr>
      <w:r w:rsidRPr="00256865">
        <w:rPr>
          <w:rFonts w:cs="Arial"/>
          <w:sz w:val="24"/>
          <w:szCs w:val="24"/>
        </w:rPr>
        <w:t>Perth</w:t>
      </w:r>
    </w:p>
    <w:p w:rsidR="0044479A" w:rsidRPr="000D4A03" w:rsidRDefault="0044479A" w:rsidP="001B6FA1">
      <w:pPr>
        <w:pStyle w:val="Heading2"/>
        <w:spacing w:after="200"/>
      </w:pPr>
      <w:r w:rsidRPr="000D4A03">
        <w:t xml:space="preserve">Services available to eligible allied health professionals </w:t>
      </w:r>
    </w:p>
    <w:p w:rsidR="0044479A" w:rsidRPr="0044479A" w:rsidRDefault="0044479A" w:rsidP="00A76433">
      <w:pPr>
        <w:spacing w:line="276" w:lineRule="auto"/>
        <w:rPr>
          <w:rFonts w:cs="Arial"/>
          <w:sz w:val="24"/>
          <w:szCs w:val="24"/>
        </w:rPr>
      </w:pPr>
      <w:r w:rsidRPr="000D4A03">
        <w:rPr>
          <w:rStyle w:val="BodyTextChar"/>
        </w:rPr>
        <w:t>Private sector allied health professionals can use the FIS to access the following services delivered by TIS National</w:t>
      </w:r>
      <w:r w:rsidRPr="0044479A">
        <w:rPr>
          <w:rFonts w:cs="Arial"/>
          <w:sz w:val="24"/>
          <w:szCs w:val="24"/>
        </w:rPr>
        <w:t>:</w:t>
      </w:r>
    </w:p>
    <w:p w:rsidR="0044479A" w:rsidRPr="00A76433" w:rsidRDefault="0044479A" w:rsidP="00070C3C">
      <w:pPr>
        <w:pStyle w:val="ListBullet"/>
        <w:spacing w:line="240" w:lineRule="auto"/>
        <w:rPr>
          <w:sz w:val="24"/>
        </w:rPr>
      </w:pPr>
      <w:r w:rsidRPr="00A76433">
        <w:rPr>
          <w:sz w:val="24"/>
        </w:rPr>
        <w:t>immediate phone interpreting</w:t>
      </w:r>
    </w:p>
    <w:p w:rsidR="0044479A" w:rsidRPr="00A76433" w:rsidRDefault="0044479A" w:rsidP="00070C3C">
      <w:pPr>
        <w:pStyle w:val="ListBullet"/>
        <w:spacing w:line="240" w:lineRule="auto"/>
        <w:rPr>
          <w:sz w:val="24"/>
        </w:rPr>
      </w:pPr>
      <w:r w:rsidRPr="00A76433">
        <w:rPr>
          <w:sz w:val="24"/>
        </w:rPr>
        <w:t>pre-booked phone interpreting</w:t>
      </w:r>
    </w:p>
    <w:p w:rsidR="0044479A" w:rsidRPr="00A76433" w:rsidRDefault="0044479A" w:rsidP="00070C3C">
      <w:pPr>
        <w:pStyle w:val="ListBullet"/>
        <w:spacing w:line="240" w:lineRule="auto"/>
        <w:rPr>
          <w:sz w:val="24"/>
        </w:rPr>
      </w:pPr>
      <w:r w:rsidRPr="00A76433">
        <w:rPr>
          <w:sz w:val="24"/>
        </w:rPr>
        <w:t>Automated Telephone Interpreting Service (ATIS)</w:t>
      </w:r>
    </w:p>
    <w:p w:rsidR="0044479A" w:rsidRPr="00A76433" w:rsidRDefault="0044479A" w:rsidP="00070C3C">
      <w:pPr>
        <w:pStyle w:val="ListBullet"/>
        <w:spacing w:line="240" w:lineRule="auto"/>
        <w:rPr>
          <w:sz w:val="24"/>
        </w:rPr>
      </w:pPr>
      <w:r w:rsidRPr="00A76433">
        <w:rPr>
          <w:sz w:val="24"/>
        </w:rPr>
        <w:t>on-site interpreting, and</w:t>
      </w:r>
    </w:p>
    <w:p w:rsidR="0044479A" w:rsidRPr="00A76433" w:rsidRDefault="0044479A" w:rsidP="00070C3C">
      <w:pPr>
        <w:pStyle w:val="ListBullet"/>
        <w:spacing w:line="240" w:lineRule="auto"/>
        <w:rPr>
          <w:sz w:val="24"/>
        </w:rPr>
      </w:pPr>
      <w:proofErr w:type="gramStart"/>
      <w:r w:rsidRPr="00A76433">
        <w:rPr>
          <w:sz w:val="24"/>
        </w:rPr>
        <w:t>video</w:t>
      </w:r>
      <w:proofErr w:type="gramEnd"/>
      <w:r w:rsidRPr="00A76433">
        <w:rPr>
          <w:sz w:val="24"/>
        </w:rPr>
        <w:t xml:space="preserve"> remote interpreting.</w:t>
      </w:r>
    </w:p>
    <w:p w:rsidR="0044479A" w:rsidRDefault="0044479A" w:rsidP="00A76433">
      <w:pPr>
        <w:spacing w:before="240" w:line="276" w:lineRule="auto"/>
        <w:rPr>
          <w:rFonts w:cs="Arial"/>
          <w:sz w:val="24"/>
          <w:szCs w:val="24"/>
        </w:rPr>
      </w:pPr>
      <w:r w:rsidRPr="000D4A03">
        <w:rPr>
          <w:rStyle w:val="BodyTextChar"/>
        </w:rPr>
        <w:t>Eligible private sector allied health professionals can access the FIS when delivering services that are</w:t>
      </w:r>
      <w:r>
        <w:rPr>
          <w:rFonts w:cs="Arial"/>
          <w:sz w:val="24"/>
          <w:szCs w:val="24"/>
        </w:rPr>
        <w:t>:</w:t>
      </w:r>
    </w:p>
    <w:p w:rsidR="0044479A" w:rsidRPr="0044479A" w:rsidRDefault="0044479A" w:rsidP="00070C3C">
      <w:pPr>
        <w:pStyle w:val="ListBullet"/>
        <w:spacing w:line="240" w:lineRule="auto"/>
        <w:ind w:left="647"/>
        <w:rPr>
          <w:sz w:val="22"/>
        </w:rPr>
      </w:pPr>
      <w:r w:rsidRPr="0044479A">
        <w:rPr>
          <w:sz w:val="22"/>
        </w:rPr>
        <w:t>delivered in private practice located in an approved LGA</w:t>
      </w:r>
    </w:p>
    <w:p w:rsidR="0044479A" w:rsidRDefault="0044479A" w:rsidP="00070C3C">
      <w:pPr>
        <w:pStyle w:val="ListBullet"/>
        <w:spacing w:line="240" w:lineRule="auto"/>
        <w:ind w:left="647"/>
        <w:rPr>
          <w:sz w:val="24"/>
          <w:szCs w:val="24"/>
        </w:rPr>
      </w:pPr>
      <w:r w:rsidRPr="0044479A">
        <w:rPr>
          <w:sz w:val="22"/>
        </w:rPr>
        <w:t>delivered</w:t>
      </w:r>
      <w:r w:rsidRPr="0044479A">
        <w:rPr>
          <w:sz w:val="24"/>
          <w:szCs w:val="24"/>
        </w:rPr>
        <w:t xml:space="preserve"> by a suitably qualified professional in an eligible discipline</w:t>
      </w:r>
    </w:p>
    <w:p w:rsidR="0044479A" w:rsidRPr="0044479A" w:rsidRDefault="0044479A" w:rsidP="00070C3C">
      <w:pPr>
        <w:pStyle w:val="ListBullet"/>
        <w:spacing w:after="240" w:line="240" w:lineRule="auto"/>
        <w:ind w:left="647"/>
        <w:rPr>
          <w:sz w:val="24"/>
          <w:szCs w:val="24"/>
        </w:rPr>
      </w:pPr>
      <w:proofErr w:type="gramStart"/>
      <w:r w:rsidRPr="0044479A">
        <w:rPr>
          <w:sz w:val="24"/>
          <w:szCs w:val="24"/>
        </w:rPr>
        <w:t>provided</w:t>
      </w:r>
      <w:proofErr w:type="gramEnd"/>
      <w:r w:rsidRPr="0044479A">
        <w:rPr>
          <w:sz w:val="24"/>
          <w:szCs w:val="24"/>
        </w:rPr>
        <w:t xml:space="preserve"> to a patient or client who is eligible for a Medicare card.</w:t>
      </w:r>
    </w:p>
    <w:p w:rsidR="00282258" w:rsidRPr="0036774A" w:rsidRDefault="00282258" w:rsidP="001B6FA1">
      <w:pPr>
        <w:pStyle w:val="Heading2"/>
        <w:spacing w:after="200"/>
        <w:rPr>
          <w:b/>
        </w:rPr>
      </w:pPr>
      <w:r w:rsidRPr="0036774A">
        <w:t>Registering for a client code</w:t>
      </w:r>
    </w:p>
    <w:p w:rsidR="00282258" w:rsidRDefault="00282258" w:rsidP="00C86C72">
      <w:pPr>
        <w:pStyle w:val="BodyText"/>
        <w:spacing w:after="240" w:line="276" w:lineRule="auto"/>
        <w:ind w:left="0"/>
        <w:rPr>
          <w:szCs w:val="24"/>
        </w:rPr>
      </w:pPr>
      <w:r w:rsidRPr="00256865">
        <w:rPr>
          <w:rFonts w:eastAsia="Times New Roman" w:cs="Arial"/>
          <w:color w:val="232324"/>
          <w:szCs w:val="24"/>
          <w:lang w:eastAsia="en-AU"/>
        </w:rPr>
        <w:t>Each allied health professional will need a unique client code to access the service</w:t>
      </w:r>
      <w:r w:rsidRPr="00256865">
        <w:rPr>
          <w:szCs w:val="24"/>
        </w:rPr>
        <w:t xml:space="preserve">. To register for a client code, complete the online </w:t>
      </w:r>
      <w:hyperlink r:id="rId7" w:history="1">
        <w:r w:rsidRPr="00256865">
          <w:rPr>
            <w:rStyle w:val="Hyperlink"/>
            <w:color w:val="0000FF"/>
            <w:szCs w:val="24"/>
          </w:rPr>
          <w:t>application form</w:t>
        </w:r>
      </w:hyperlink>
      <w:r w:rsidRPr="00256865">
        <w:rPr>
          <w:szCs w:val="24"/>
        </w:rPr>
        <w:t xml:space="preserve"> on the TIS National website. If you require assistance with re</w:t>
      </w:r>
      <w:r w:rsidR="009A0606">
        <w:rPr>
          <w:szCs w:val="24"/>
        </w:rPr>
        <w:t>gistering, contact TIS National</w:t>
      </w:r>
      <w:r w:rsidR="001B6FA1" w:rsidRPr="001B6FA1">
        <w:rPr>
          <w:rFonts w:cs="Arial"/>
          <w:szCs w:val="24"/>
        </w:rPr>
        <w:t xml:space="preserve"> </w:t>
      </w:r>
      <w:r w:rsidR="001B6FA1" w:rsidRPr="001B6FA1">
        <w:rPr>
          <w:rFonts w:cs="Arial"/>
        </w:rPr>
        <w:t xml:space="preserve">on 1300 575 847 or email </w:t>
      </w:r>
      <w:hyperlink r:id="rId8" w:history="1">
        <w:r w:rsidR="001B6FA1" w:rsidRPr="001B6FA1">
          <w:rPr>
            <w:rStyle w:val="Hyperlink"/>
            <w:rFonts w:cs="Arial"/>
            <w:color w:val="215968"/>
          </w:rPr>
          <w:t>tis.freeinterpreting@homeaffairs.gov.au</w:t>
        </w:r>
      </w:hyperlink>
      <w:r w:rsidR="009A0606" w:rsidRPr="001B6FA1">
        <w:rPr>
          <w:rFonts w:cs="Arial"/>
          <w:szCs w:val="24"/>
        </w:rPr>
        <w:t>.</w:t>
      </w:r>
    </w:p>
    <w:p w:rsidR="00070C3C" w:rsidRPr="0036774A" w:rsidRDefault="00070C3C" w:rsidP="001B6FA1">
      <w:pPr>
        <w:pStyle w:val="Heading2"/>
        <w:spacing w:after="120"/>
        <w:rPr>
          <w:b/>
        </w:rPr>
      </w:pPr>
      <w:r w:rsidRPr="0036774A">
        <w:t>More information</w:t>
      </w:r>
    </w:p>
    <w:p w:rsidR="00070C3C" w:rsidRPr="00607CC8" w:rsidRDefault="00070C3C" w:rsidP="001B6FA1">
      <w:pPr>
        <w:pStyle w:val="ListBullet"/>
        <w:spacing w:before="0" w:line="240" w:lineRule="auto"/>
        <w:rPr>
          <w:sz w:val="22"/>
        </w:rPr>
      </w:pPr>
      <w:r w:rsidRPr="00607CC8">
        <w:rPr>
          <w:b/>
          <w:sz w:val="22"/>
        </w:rPr>
        <w:t>Read</w:t>
      </w:r>
      <w:r w:rsidRPr="00607CC8">
        <w:rPr>
          <w:sz w:val="22"/>
        </w:rPr>
        <w:t xml:space="preserve">: about the </w:t>
      </w:r>
      <w:r w:rsidR="001B6FA1" w:rsidRPr="00607CC8">
        <w:rPr>
          <w:sz w:val="22"/>
        </w:rPr>
        <w:t>Free Interpreting Service</w:t>
      </w:r>
      <w:r w:rsidRPr="00607CC8">
        <w:rPr>
          <w:sz w:val="22"/>
        </w:rPr>
        <w:t xml:space="preserve"> </w:t>
      </w:r>
      <w:hyperlink r:id="rId9" w:history="1">
        <w:r w:rsidRPr="00607CC8">
          <w:rPr>
            <w:rStyle w:val="Hyperlink"/>
            <w:rFonts w:eastAsiaTheme="minorHAnsi"/>
            <w:sz w:val="22"/>
          </w:rPr>
          <w:t>tisnational.gov.au/FIS</w:t>
        </w:r>
      </w:hyperlink>
      <w:r w:rsidRPr="00607CC8">
        <w:rPr>
          <w:rFonts w:eastAsiaTheme="minorHAnsi"/>
          <w:sz w:val="22"/>
        </w:rPr>
        <w:t xml:space="preserve"> </w:t>
      </w:r>
    </w:p>
    <w:p w:rsidR="00070C3C" w:rsidRPr="00607CC8" w:rsidRDefault="00070C3C" w:rsidP="001B6FA1">
      <w:pPr>
        <w:pStyle w:val="ListBullet"/>
        <w:spacing w:before="0" w:line="240" w:lineRule="auto"/>
        <w:rPr>
          <w:sz w:val="22"/>
        </w:rPr>
      </w:pPr>
      <w:r w:rsidRPr="00607CC8">
        <w:rPr>
          <w:b/>
          <w:sz w:val="22"/>
        </w:rPr>
        <w:t>Read</w:t>
      </w:r>
      <w:r w:rsidRPr="00607CC8">
        <w:rPr>
          <w:sz w:val="22"/>
        </w:rPr>
        <w:t xml:space="preserve">: about working with interpreters and managing your jobs </w:t>
      </w:r>
      <w:hyperlink r:id="rId10" w:history="1">
        <w:r w:rsidRPr="00607CC8">
          <w:rPr>
            <w:sz w:val="22"/>
          </w:rPr>
          <w:t>TIS Online</w:t>
        </w:r>
      </w:hyperlink>
      <w:r w:rsidRPr="00607CC8">
        <w:rPr>
          <w:sz w:val="22"/>
        </w:rPr>
        <w:t xml:space="preserve"> at  </w:t>
      </w:r>
      <w:r w:rsidR="003B158E">
        <w:fldChar w:fldCharType="begin"/>
      </w:r>
      <w:r w:rsidR="003B158E">
        <w:instrText xml:space="preserve"> HYPERLINK "https://www.tisnational.gov.au/Our-services/How-TIS-National-works-for-agencies" </w:instrText>
      </w:r>
      <w:bookmarkStart w:id="1" w:name="_GoBack"/>
      <w:bookmarkEnd w:id="1"/>
      <w:r w:rsidR="003B158E">
        <w:fldChar w:fldCharType="separate"/>
      </w:r>
      <w:r w:rsidRPr="00607CC8">
        <w:rPr>
          <w:rStyle w:val="Hyperlink"/>
          <w:rFonts w:eastAsiaTheme="minorHAnsi"/>
          <w:color w:val="0000FF"/>
          <w:sz w:val="22"/>
        </w:rPr>
        <w:t xml:space="preserve">tisnational.gov.au/Our-services/How-TIS-National-works-for-agencies       </w:t>
      </w:r>
      <w:r w:rsidRPr="00607CC8">
        <w:rPr>
          <w:rStyle w:val="Hyperlink"/>
          <w:sz w:val="22"/>
        </w:rPr>
        <w:t xml:space="preserve">             </w:t>
      </w:r>
      <w:r w:rsidR="003B158E">
        <w:rPr>
          <w:rStyle w:val="Hyperlink"/>
          <w:sz w:val="22"/>
        </w:rPr>
        <w:fldChar w:fldCharType="end"/>
      </w:r>
      <w:r w:rsidRPr="00607CC8">
        <w:rPr>
          <w:sz w:val="22"/>
        </w:rPr>
        <w:t xml:space="preserve"> </w:t>
      </w:r>
    </w:p>
    <w:p w:rsidR="000D4A03" w:rsidRPr="00607CC8" w:rsidRDefault="00070C3C" w:rsidP="001B6FA1">
      <w:pPr>
        <w:pStyle w:val="ListBullet"/>
        <w:spacing w:before="0" w:line="240" w:lineRule="auto"/>
        <w:rPr>
          <w:rStyle w:val="Hyperlink"/>
          <w:sz w:val="22"/>
        </w:rPr>
      </w:pPr>
      <w:r w:rsidRPr="00607CC8">
        <w:rPr>
          <w:b/>
          <w:sz w:val="22"/>
        </w:rPr>
        <w:t>Order:</w:t>
      </w:r>
      <w:r w:rsidRPr="00607CC8">
        <w:rPr>
          <w:sz w:val="22"/>
        </w:rPr>
        <w:t xml:space="preserve"> free promotional materials from th</w:t>
      </w:r>
      <w:r w:rsidR="001B6FA1" w:rsidRPr="00607CC8">
        <w:rPr>
          <w:sz w:val="22"/>
        </w:rPr>
        <w:t xml:space="preserve">e online TIS National catalogue </w:t>
      </w:r>
      <w:hyperlink r:id="rId11" w:history="1">
        <w:r w:rsidRPr="00607CC8">
          <w:rPr>
            <w:rStyle w:val="Hyperlink"/>
            <w:rFonts w:eastAsiaTheme="minorHAnsi"/>
            <w:color w:val="0000FF"/>
            <w:sz w:val="22"/>
          </w:rPr>
          <w:t>tisnational.gov.au/</w:t>
        </w:r>
        <w:proofErr w:type="spellStart"/>
        <w:r w:rsidRPr="00607CC8">
          <w:rPr>
            <w:rStyle w:val="Hyperlink"/>
            <w:rFonts w:eastAsiaTheme="minorHAnsi"/>
            <w:color w:val="0000FF"/>
            <w:sz w:val="22"/>
          </w:rPr>
          <w:t>promomaterials</w:t>
        </w:r>
        <w:proofErr w:type="spellEnd"/>
        <w:r w:rsidRPr="00607CC8">
          <w:rPr>
            <w:rStyle w:val="Hyperlink"/>
            <w:rFonts w:eastAsiaTheme="minorHAnsi"/>
            <w:color w:val="0000FF"/>
            <w:sz w:val="22"/>
          </w:rPr>
          <w:t xml:space="preserve"> </w:t>
        </w:r>
      </w:hyperlink>
    </w:p>
    <w:p w:rsidR="00952B92" w:rsidRPr="00607CC8" w:rsidRDefault="00070C3C" w:rsidP="001B6FA1">
      <w:pPr>
        <w:pStyle w:val="ListBullet"/>
        <w:spacing w:before="0" w:line="240" w:lineRule="auto"/>
        <w:rPr>
          <w:sz w:val="22"/>
          <w:u w:val="single"/>
        </w:rPr>
      </w:pPr>
      <w:r w:rsidRPr="00607CC8">
        <w:rPr>
          <w:b/>
          <w:sz w:val="22"/>
        </w:rPr>
        <w:t>Contact</w:t>
      </w:r>
      <w:r w:rsidRPr="00607CC8">
        <w:rPr>
          <w:sz w:val="22"/>
        </w:rPr>
        <w:t xml:space="preserve"> </w:t>
      </w:r>
      <w:r w:rsidR="001B6FA1" w:rsidRPr="00607CC8">
        <w:rPr>
          <w:sz w:val="22"/>
        </w:rPr>
        <w:t xml:space="preserve">TIS National Free Interpreting Service team on 1300 575 847 or email </w:t>
      </w:r>
      <w:hyperlink r:id="rId12" w:history="1">
        <w:r w:rsidRPr="00607CC8">
          <w:rPr>
            <w:rStyle w:val="Hyperlink"/>
            <w:color w:val="0000FF"/>
            <w:sz w:val="22"/>
            <w:u w:val="none"/>
          </w:rPr>
          <w:t>tis.freeinterpreting@homeaffairs.gov.au</w:t>
        </w:r>
      </w:hyperlink>
    </w:p>
    <w:sectPr w:rsidR="00952B92" w:rsidRPr="00607CC8" w:rsidSect="003677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680" w:footer="0" w:gutter="0"/>
      <w:pgNumType w:start="0"/>
      <w:cols w:space="4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58" w:rsidRDefault="00282258" w:rsidP="00282258">
      <w:pPr>
        <w:spacing w:before="0" w:after="0" w:line="240" w:lineRule="auto"/>
      </w:pPr>
      <w:r>
        <w:separator/>
      </w:r>
    </w:p>
  </w:endnote>
  <w:endnote w:type="continuationSeparator" w:id="0">
    <w:p w:rsidR="00282258" w:rsidRDefault="00282258" w:rsidP="002822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65" w:rsidRDefault="0025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65" w:rsidRDefault="0025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77" w:rsidRDefault="003B158E" w:rsidP="0035060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58" w:rsidRDefault="00282258" w:rsidP="00282258">
      <w:pPr>
        <w:spacing w:before="0" w:after="0" w:line="240" w:lineRule="auto"/>
      </w:pPr>
      <w:r>
        <w:separator/>
      </w:r>
    </w:p>
  </w:footnote>
  <w:footnote w:type="continuationSeparator" w:id="0">
    <w:p w:rsidR="00282258" w:rsidRDefault="00282258" w:rsidP="002822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65" w:rsidRDefault="0025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65" w:rsidRDefault="00256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65" w:rsidRDefault="0025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7EA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032C8E"/>
    <w:multiLevelType w:val="multilevel"/>
    <w:tmpl w:val="EFF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63EB2"/>
    <w:multiLevelType w:val="multilevel"/>
    <w:tmpl w:val="831C62A2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 Bold" w:hAnsi="Arial Bold" w:hint="default"/>
        <w:b/>
        <w:i w:val="0"/>
        <w:color w:val="auto"/>
        <w:sz w:val="20"/>
        <w:u w:color="FFFFFF" w:themeColor="background1"/>
      </w:rPr>
    </w:lvl>
    <w:lvl w:ilvl="1">
      <w:start w:val="1"/>
      <w:numFmt w:val="bullet"/>
      <w:pStyle w:val="ListBullet2"/>
      <w:lvlText w:val="‒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58"/>
    <w:rsid w:val="00070C3C"/>
    <w:rsid w:val="00092670"/>
    <w:rsid w:val="000D4A03"/>
    <w:rsid w:val="001B6FA1"/>
    <w:rsid w:val="001E0D81"/>
    <w:rsid w:val="00256865"/>
    <w:rsid w:val="00261EB6"/>
    <w:rsid w:val="00282258"/>
    <w:rsid w:val="002A0287"/>
    <w:rsid w:val="002D1C89"/>
    <w:rsid w:val="002F16C3"/>
    <w:rsid w:val="0036774A"/>
    <w:rsid w:val="003B158E"/>
    <w:rsid w:val="003D1691"/>
    <w:rsid w:val="0044479A"/>
    <w:rsid w:val="00446503"/>
    <w:rsid w:val="004777BF"/>
    <w:rsid w:val="0056155A"/>
    <w:rsid w:val="00600959"/>
    <w:rsid w:val="00607CC8"/>
    <w:rsid w:val="00655F13"/>
    <w:rsid w:val="0066373F"/>
    <w:rsid w:val="006A7128"/>
    <w:rsid w:val="006F0F60"/>
    <w:rsid w:val="00783710"/>
    <w:rsid w:val="00795A40"/>
    <w:rsid w:val="007F5D5C"/>
    <w:rsid w:val="00835B6D"/>
    <w:rsid w:val="00847D1B"/>
    <w:rsid w:val="00894831"/>
    <w:rsid w:val="008F0C86"/>
    <w:rsid w:val="00952B92"/>
    <w:rsid w:val="009A0606"/>
    <w:rsid w:val="00A206E7"/>
    <w:rsid w:val="00A66EEC"/>
    <w:rsid w:val="00A76433"/>
    <w:rsid w:val="00B407BA"/>
    <w:rsid w:val="00BC6C02"/>
    <w:rsid w:val="00C86C72"/>
    <w:rsid w:val="00CD31C9"/>
    <w:rsid w:val="00D45688"/>
    <w:rsid w:val="00E03ACD"/>
    <w:rsid w:val="00E34F83"/>
    <w:rsid w:val="00E53AF2"/>
    <w:rsid w:val="00E719F0"/>
    <w:rsid w:val="00F3510D"/>
    <w:rsid w:val="00F8030E"/>
    <w:rsid w:val="00F9500C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rsid w:val="00282258"/>
    <w:pPr>
      <w:spacing w:before="120" w:after="120" w:line="264" w:lineRule="auto"/>
    </w:pPr>
    <w:rPr>
      <w:rFonts w:ascii="Arial" w:hAnsi="Arial"/>
      <w:color w:val="000000" w:themeColor="text1"/>
      <w:sz w:val="20"/>
      <w:szCs w:val="20"/>
    </w:rPr>
  </w:style>
  <w:style w:type="paragraph" w:styleId="Heading1">
    <w:name w:val="heading 1"/>
    <w:basedOn w:val="Subtitle"/>
    <w:next w:val="BodyText"/>
    <w:link w:val="Heading1Char"/>
    <w:uiPriority w:val="1"/>
    <w:qFormat/>
    <w:rsid w:val="00282258"/>
    <w:pPr>
      <w:numPr>
        <w:ilvl w:val="0"/>
      </w:numPr>
      <w:spacing w:after="0"/>
      <w:ind w:left="-794"/>
      <w:outlineLvl w:val="0"/>
    </w:pPr>
    <w:rPr>
      <w:rFonts w:ascii="Arial" w:eastAsiaTheme="minorHAnsi" w:hAnsi="Arial"/>
      <w:b/>
      <w:color w:val="000000" w:themeColor="text1"/>
      <w:spacing w:val="0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0D4A03"/>
    <w:pPr>
      <w:spacing w:after="240" w:line="276" w:lineRule="auto"/>
      <w:outlineLvl w:val="1"/>
    </w:pPr>
    <w:rPr>
      <w:sz w:val="40"/>
      <w:szCs w:val="40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282258"/>
    <w:pPr>
      <w:spacing w:before="240"/>
      <w:outlineLvl w:val="2"/>
    </w:pPr>
    <w:rPr>
      <w:rFonts w:asciiTheme="majorHAnsi" w:hAnsiTheme="majorHAnsi"/>
      <w:b/>
      <w:szCs w:val="24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282258"/>
    <w:pPr>
      <w:numPr>
        <w:ilvl w:val="3"/>
      </w:numPr>
      <w:spacing w:before="120" w:line="240" w:lineRule="auto"/>
      <w:ind w:left="-794"/>
      <w:outlineLvl w:val="3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2258"/>
    <w:rPr>
      <w:rFonts w:ascii="Arial" w:hAnsi="Arial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D4A03"/>
    <w:rPr>
      <w:rFonts w:ascii="Arial" w:hAnsi="Arial"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282258"/>
    <w:rPr>
      <w:rFonts w:asciiTheme="majorHAnsi" w:hAnsiTheme="majorHAns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282258"/>
    <w:rPr>
      <w:rFonts w:ascii="Arial" w:hAnsi="Arial" w:cs="Arial"/>
      <w:b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rsid w:val="00282258"/>
    <w:rPr>
      <w:color w:val="000000" w:themeColor="text1"/>
      <w:u w:val="single"/>
    </w:rPr>
  </w:style>
  <w:style w:type="paragraph" w:styleId="BodyText">
    <w:name w:val="Body Text"/>
    <w:basedOn w:val="Normal"/>
    <w:link w:val="BodyTextChar"/>
    <w:uiPriority w:val="1"/>
    <w:qFormat/>
    <w:rsid w:val="000D4A03"/>
    <w:pPr>
      <w:ind w:left="-794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A03"/>
    <w:rPr>
      <w:rFonts w:ascii="Arial" w:hAnsi="Arial"/>
      <w:color w:val="000000" w:themeColor="text1"/>
      <w:sz w:val="24"/>
      <w:szCs w:val="20"/>
    </w:rPr>
  </w:style>
  <w:style w:type="paragraph" w:styleId="Footer">
    <w:name w:val="footer"/>
    <w:link w:val="FooterChar"/>
    <w:uiPriority w:val="99"/>
    <w:rsid w:val="00282258"/>
    <w:pPr>
      <w:tabs>
        <w:tab w:val="center" w:pos="4513"/>
        <w:tab w:val="right" w:pos="9026"/>
      </w:tabs>
      <w:spacing w:after="0" w:line="240" w:lineRule="auto"/>
      <w:jc w:val="center"/>
    </w:pPr>
    <w:rPr>
      <w:rFonts w:cstheme="minorHAnsi"/>
      <w:color w:val="FFFFFF" w:themeColor="background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2258"/>
    <w:rPr>
      <w:rFonts w:cstheme="minorHAnsi"/>
      <w:color w:val="FFFFFF" w:themeColor="background1"/>
      <w:sz w:val="16"/>
      <w:szCs w:val="16"/>
    </w:rPr>
  </w:style>
  <w:style w:type="table" w:styleId="TableGrid">
    <w:name w:val="Table Grid"/>
    <w:basedOn w:val="TableNormal"/>
    <w:uiPriority w:val="39"/>
    <w:rsid w:val="00282258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20"/>
    <w:qFormat/>
    <w:rsid w:val="00282258"/>
    <w:pPr>
      <w:numPr>
        <w:numId w:val="1"/>
      </w:numPr>
      <w:spacing w:after="0"/>
      <w:ind w:right="-794"/>
    </w:pPr>
    <w:rPr>
      <w:rFonts w:eastAsia="MS Mincho" w:cs="Arial"/>
    </w:rPr>
  </w:style>
  <w:style w:type="paragraph" w:styleId="ListBullet2">
    <w:name w:val="List Bullet 2"/>
    <w:basedOn w:val="ListBullet"/>
    <w:uiPriority w:val="20"/>
    <w:rsid w:val="00282258"/>
    <w:pPr>
      <w:numPr>
        <w:ilvl w:val="1"/>
      </w:numPr>
    </w:pPr>
  </w:style>
  <w:style w:type="paragraph" w:styleId="ListBullet3">
    <w:name w:val="List Bullet 3"/>
    <w:basedOn w:val="Normal"/>
    <w:uiPriority w:val="20"/>
    <w:rsid w:val="00282258"/>
    <w:pPr>
      <w:numPr>
        <w:ilvl w:val="2"/>
        <w:numId w:val="1"/>
      </w:numPr>
      <w:spacing w:after="0"/>
    </w:pPr>
    <w:rPr>
      <w:rFonts w:asciiTheme="minorHAnsi" w:eastAsia="MS Mincho" w:hAnsiTheme="minorHAnsi" w:cs="Times New Roman"/>
    </w:rPr>
  </w:style>
  <w:style w:type="paragraph" w:styleId="ListBullet4">
    <w:name w:val="List Bullet 4"/>
    <w:basedOn w:val="Normal"/>
    <w:uiPriority w:val="20"/>
    <w:rsid w:val="00282258"/>
    <w:pPr>
      <w:numPr>
        <w:ilvl w:val="3"/>
        <w:numId w:val="1"/>
      </w:numPr>
      <w:spacing w:after="0"/>
    </w:pPr>
    <w:rPr>
      <w:rFonts w:asciiTheme="minorHAnsi" w:eastAsia="MS Mincho" w:hAnsiTheme="minorHAnsi" w:cs="Times New Roman"/>
    </w:rPr>
  </w:style>
  <w:style w:type="paragraph" w:styleId="ListBullet5">
    <w:name w:val="List Bullet 5"/>
    <w:basedOn w:val="ListBullet4"/>
    <w:uiPriority w:val="20"/>
    <w:rsid w:val="00282258"/>
    <w:pPr>
      <w:numPr>
        <w:ilvl w:val="4"/>
      </w:num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8225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225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822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58"/>
    <w:rPr>
      <w:rFonts w:ascii="Arial" w:hAnsi="Arial"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6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E7"/>
    <w:rPr>
      <w:rFonts w:ascii="Segoe UI" w:hAnsi="Segoe UI" w:cs="Segoe UI"/>
      <w:color w:val="000000" w:themeColor="text1"/>
      <w:sz w:val="18"/>
      <w:szCs w:val="18"/>
    </w:rPr>
  </w:style>
  <w:style w:type="paragraph" w:styleId="Title">
    <w:name w:val="Title"/>
    <w:aliases w:val="COD Cover title,Cover Title"/>
    <w:basedOn w:val="BodyText"/>
    <w:next w:val="Normal"/>
    <w:link w:val="TitleChar"/>
    <w:qFormat/>
    <w:rsid w:val="00FC6A44"/>
    <w:pPr>
      <w:spacing w:before="0" w:after="0"/>
      <w:ind w:left="0"/>
    </w:pPr>
    <w:rPr>
      <w:rFonts w:asciiTheme="minorHAnsi" w:hAnsiTheme="minorHAnsi"/>
      <w:b/>
      <w:color w:val="5B9BD5" w:themeColor="accent1"/>
      <w:sz w:val="72"/>
    </w:rPr>
  </w:style>
  <w:style w:type="character" w:customStyle="1" w:styleId="TitleChar">
    <w:name w:val="Title Char"/>
    <w:aliases w:val="COD Cover title Char,Cover Title Char"/>
    <w:basedOn w:val="DefaultParagraphFont"/>
    <w:link w:val="Title"/>
    <w:rsid w:val="00FC6A44"/>
    <w:rPr>
      <w:b/>
      <w:color w:val="5B9BD5" w:themeColor="accent1"/>
      <w:sz w:val="72"/>
      <w:szCs w:val="20"/>
    </w:rPr>
  </w:style>
  <w:style w:type="character" w:styleId="Emphasis">
    <w:name w:val="Emphasis"/>
    <w:uiPriority w:val="20"/>
    <w:qFormat/>
    <w:rsid w:val="000D4A03"/>
    <w:rPr>
      <w:rFonts w:cs="Arial"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.freeinterpreting@homeaffairs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isnational.gov.au/Free-Interpreting-Service/Application-forms/Application-for-allied-health-professionals" TargetMode="External"/><Relationship Id="rId12" Type="http://schemas.openxmlformats.org/officeDocument/2006/relationships/hyperlink" Target="mailto:tis.freeinterpreting@homeaffairs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snational.gov.au/Who-we-are/Promoting-TIS-National/Promotional-Materials-Order-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isnational.gov.au/Our-services/How-TIS-National-works-for-agenc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snational.gov.au/Free-Interpreting-Servi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Interpreting Service - Allied health professionals information sheet</vt:lpstr>
    </vt:vector>
  </TitlesOfParts>
  <Manager/>
  <Company/>
  <LinksUpToDate>false</LinksUpToDate>
  <CharactersWithSpaces>3543</CharactersWithSpaces>
  <SharedDoc>false</SharedDoc>
  <HyperlinkBase>https://www.tisnational.gov.au/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Interpreting Service - Allied health professionals information sheet</dc:title>
  <dc:subject/>
  <dc:creator/>
  <cp:keywords/>
  <dc:description/>
  <cp:lastModifiedBy/>
  <cp:revision>1</cp:revision>
  <dcterms:created xsi:type="dcterms:W3CDTF">2023-12-20T07:59:00Z</dcterms:created>
  <dcterms:modified xsi:type="dcterms:W3CDTF">2023-12-21T00:59:00Z</dcterms:modified>
</cp:coreProperties>
</file>